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Calibri" w:cs="Calibri" w:eastAsia="Calibri" w:hAnsi="Calibri"/>
          <w:sz w:val="22"/>
          <w:szCs w:val="22"/>
        </w:rPr>
      </w:pPr>
      <w:bookmarkStart w:colFirst="0" w:colLast="0" w:name="_heading=h.1fob9te" w:id="0"/>
      <w:bookmarkEnd w:id="0"/>
      <w:r w:rsidDel="00000000" w:rsidR="00000000" w:rsidRPr="00000000">
        <w:rPr>
          <w:rFonts w:ascii="Calibri" w:cs="Calibri" w:eastAsia="Calibri" w:hAnsi="Calibri"/>
          <w:sz w:val="22"/>
          <w:szCs w:val="22"/>
        </w:rPr>
        <w:drawing>
          <wp:inline distB="114300" distT="114300" distL="114300" distR="114300">
            <wp:extent cx="1895638" cy="1831499"/>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95638" cy="1831499"/>
                    </a:xfrm>
                    <a:prstGeom prst="rect"/>
                    <a:ln/>
                  </pic:spPr>
                </pic:pic>
              </a:graphicData>
            </a:graphic>
          </wp:inline>
        </w:drawing>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bCs w:val="1"/>
          <w:sz w:val="22"/>
          <w:szCs w:val="22"/>
          <w:rtl w:val="0"/>
        </w:rPr>
        <w:t xml:space="preserve">SPEECH &amp; LANGUAGE THERAPIST J</w:t>
      </w:r>
      <w:r w:rsidDel="00000000" w:rsidR="00000000" w:rsidRPr="00000000">
        <w:rPr>
          <w:rFonts w:ascii="Calibri" w:cs="Calibri" w:eastAsia="Calibri" w:hAnsi="Calibri"/>
          <w:b w:val="1"/>
          <w:bCs w:val="1"/>
          <w:color w:val="000000"/>
          <w:sz w:val="22"/>
          <w:szCs w:val="22"/>
          <w:rtl w:val="0"/>
        </w:rPr>
        <w:t xml:space="preserve">OB DESCRIPTION</w:t>
      </w:r>
      <w:r w:rsidDel="00000000" w:rsidR="00000000" w:rsidRPr="00000000">
        <w:rPr>
          <w:rtl w:val="0"/>
        </w:rPr>
      </w:r>
    </w:p>
    <w:tbl>
      <w:tblPr>
        <w:tblStyle w:val="Table1"/>
        <w:tblW w:w="9889.0" w:type="dxa"/>
        <w:jc w:val="left"/>
        <w:tblLayout w:type="fixed"/>
        <w:tblLook w:val="0000"/>
      </w:tblPr>
      <w:tblGrid>
        <w:gridCol w:w="1706"/>
        <w:gridCol w:w="8183"/>
        <w:tblGridChange w:id="0">
          <w:tblGrid>
            <w:gridCol w:w="1706"/>
            <w:gridCol w:w="8183"/>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w:t>
            </w:r>
            <w:r w:rsidDel="00000000" w:rsidR="00000000" w:rsidRPr="00000000">
              <w:rPr>
                <w:rFonts w:ascii="Calibri" w:cs="Calibri" w:eastAsia="Calibri" w:hAnsi="Calibri"/>
                <w:sz w:val="22"/>
                <w:szCs w:val="22"/>
                <w:rtl w:val="0"/>
              </w:rPr>
              <w:t xml:space="preserve">peech and Language Therapist</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of Curriculum Development</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Work Pattern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rPr>
                <w:rFonts w:ascii="Calibri" w:cs="Calibri" w:eastAsia="Calibri" w:hAnsi="Calibri"/>
                <w:color w:val="000000"/>
                <w:sz w:val="22"/>
                <w:szCs w:val="22"/>
              </w:rPr>
            </w:pPr>
            <w:bookmarkStart w:colFirst="0" w:colLast="0" w:name="_heading=h.gjdgxs" w:id="1"/>
            <w:bookmarkEnd w:id="1"/>
            <w:r w:rsidDel="00000000" w:rsidR="00000000" w:rsidRPr="00000000">
              <w:rPr>
                <w:rFonts w:ascii="Calibri" w:cs="Calibri" w:eastAsia="Calibri" w:hAnsi="Calibri"/>
                <w:sz w:val="22"/>
                <w:szCs w:val="22"/>
                <w:rtl w:val="0"/>
              </w:rPr>
              <w:t xml:space="preserve">3 days per week plus weekly Thursday training 4:30 - 6:00</w:t>
            </w:r>
            <w:r w:rsidDel="00000000" w:rsidR="00000000" w:rsidRPr="00000000">
              <w:rPr>
                <w:rtl w:val="0"/>
              </w:rPr>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Location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rPr>
                <w:rFonts w:ascii="Calibri" w:cs="Calibri" w:eastAsia="Calibri" w:hAnsi="Calibri"/>
                <w:sz w:val="22"/>
                <w:szCs w:val="22"/>
              </w:rPr>
            </w:pPr>
            <w:bookmarkStart w:colFirst="0" w:colLast="0" w:name="_heading=h.gjdgxs" w:id="1"/>
            <w:bookmarkEnd w:id="1"/>
            <w:r w:rsidDel="00000000" w:rsidR="00000000" w:rsidRPr="00000000">
              <w:rPr>
                <w:rFonts w:ascii="Calibri" w:cs="Calibri" w:eastAsia="Calibri" w:hAnsi="Calibri"/>
                <w:sz w:val="22"/>
                <w:szCs w:val="22"/>
                <w:rtl w:val="0"/>
              </w:rPr>
              <w:t xml:space="preserve">East School (E1) and South School (SE1) </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Salary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rPr>
                <w:rFonts w:ascii="Calibri" w:cs="Calibri" w:eastAsia="Calibri" w:hAnsi="Calibri"/>
                <w:sz w:val="22"/>
                <w:szCs w:val="22"/>
              </w:rPr>
            </w:pPr>
            <w:bookmarkStart w:colFirst="0" w:colLast="0" w:name="_heading=h.gjdgxs" w:id="1"/>
            <w:bookmarkEnd w:id="1"/>
            <w:r w:rsidDel="00000000" w:rsidR="00000000" w:rsidRPr="00000000">
              <w:rPr>
                <w:rFonts w:ascii="Calibri" w:cs="Calibri" w:eastAsia="Calibri" w:hAnsi="Calibri"/>
                <w:sz w:val="22"/>
                <w:szCs w:val="22"/>
                <w:rtl w:val="0"/>
              </w:rPr>
              <w:t xml:space="preserve">£36,135 FTE (£21,681 pro-rata)</w:t>
            </w:r>
          </w:p>
        </w:tc>
      </w:tr>
    </w:tbl>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tbl>
      <w:tblPr>
        <w:tblStyle w:val="Table2"/>
        <w:tblW w:w="9889.0" w:type="dxa"/>
        <w:jc w:val="left"/>
        <w:tblLayout w:type="fixed"/>
        <w:tblLook w:val="00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000000"/>
                <w:sz w:val="22"/>
                <w:szCs w:val="22"/>
                <w:rtl w:val="0"/>
              </w:rPr>
              <w:t xml:space="preserve">Summary of the role:</w:t>
            </w:r>
            <w:r w:rsidDel="00000000" w:rsidR="00000000" w:rsidRPr="00000000">
              <w:rPr>
                <w:rFonts w:ascii="Calibri" w:cs="Calibri" w:eastAsia="Calibri" w:hAnsi="Calibri"/>
                <w:b w:val="1"/>
                <w:bCs w:val="1"/>
                <w:color w:val="ff0000"/>
                <w:sz w:val="22"/>
                <w:szCs w:val="22"/>
                <w:rtl w:val="0"/>
              </w:rPr>
              <w:t xml:space="preserve"> </w:t>
            </w:r>
          </w:p>
          <w:p w:rsidR="00000000" w:rsidDel="00000000" w:rsidP="00000000" w:rsidRDefault="00000000" w:rsidRPr="00000000" w14:paraId="0000000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The Speech &amp; Language Therapist at TCW plays a key role in supporting students with Speech, Language and Communication Needs (SLCN) to access learning and develop essential life skills.</w:t>
            </w:r>
          </w:p>
          <w:p w:rsidR="00000000" w:rsidDel="00000000" w:rsidP="00000000" w:rsidRDefault="00000000" w:rsidRPr="00000000" w14:paraId="0000000F">
            <w:pPr>
              <w:spacing w:after="240" w:before="240"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This is not a clinic-based role. You will be embedded within the school environment, working closely with teachers delivering 1:1 and small group provision across a range of settings (homes, centres, libraries).</w:t>
            </w:r>
          </w:p>
          <w:p w:rsidR="00000000" w:rsidDel="00000000" w:rsidP="00000000" w:rsidRDefault="00000000" w:rsidRPr="00000000" w14:paraId="00000010">
            <w:pPr>
              <w:spacing w:after="0" w:before="0"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You will assess and support communication needs, work alongside teachers to deliver targeted interventions and embed communication strategies into everyday teaching and work relationally with students who may have experienced disrupted education.</w:t>
            </w:r>
          </w:p>
          <w:p w:rsidR="00000000" w:rsidDel="00000000" w:rsidP="00000000" w:rsidRDefault="00000000" w:rsidRPr="00000000" w14:paraId="00000011">
            <w:pPr>
              <w:spacing w:after="240" w:before="240" w:lineRule="auto"/>
              <w:jc w:val="both"/>
              <w:rPr>
                <w:rFonts w:ascii="Calibri" w:cs="Calibri" w:eastAsia="Calibri" w:hAnsi="Calibri"/>
                <w:sz w:val="19"/>
                <w:szCs w:val="19"/>
                <w:highlight w:val="white"/>
              </w:rPr>
            </w:pPr>
            <w:r w:rsidDel="00000000" w:rsidR="00000000" w:rsidRPr="00000000">
              <w:rPr>
                <w:rFonts w:ascii="Calibri" w:cs="Calibri" w:eastAsia="Calibri" w:hAnsi="Calibri"/>
                <w:sz w:val="20"/>
                <w:szCs w:val="20"/>
                <w:highlight w:val="white"/>
                <w:rtl w:val="0"/>
              </w:rPr>
              <w:t xml:space="preserve">The role requires flexibility, creativity and the ability to adapt quickly to student needs.</w:t>
            </w:r>
            <w:r w:rsidDel="00000000" w:rsidR="00000000" w:rsidRPr="00000000">
              <w:rPr>
                <w:rtl w:val="0"/>
              </w:rPr>
            </w:r>
          </w:p>
        </w:tc>
      </w:tr>
    </w:tbl>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sdt>
      <w:sdtPr>
        <w:lock w:val="contentLocked"/>
        <w:id w:val="-803263052"/>
        <w:tag w:val="goog_rdk_0"/>
      </w:sdtPr>
      <w:sdtContent>
        <w:tbl>
          <w:tblPr>
            <w:tblStyle w:val="Table3"/>
            <w:tblW w:w="9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5"/>
            <w:tblGridChange w:id="0">
              <w:tblGrid>
                <w:gridCol w:w="9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Responsibilities:</w:t>
                </w: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Assessment &amp; Reporting</w:t>
                </w:r>
              </w:p>
              <w:p w:rsidR="00000000" w:rsidDel="00000000" w:rsidP="00000000" w:rsidRDefault="00000000" w:rsidRPr="00000000" w14:paraId="00000017">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 formal and informal assessments of SLCN</w:t>
                </w:r>
              </w:p>
              <w:p w:rsidR="00000000" w:rsidDel="00000000" w:rsidP="00000000" w:rsidRDefault="00000000" w:rsidRPr="00000000" w14:paraId="0000001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confidence using a range of assessment tools</w:t>
                </w:r>
              </w:p>
              <w:p w:rsidR="00000000" w:rsidDel="00000000" w:rsidP="00000000" w:rsidRDefault="00000000" w:rsidRPr="00000000" w14:paraId="00000019">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Produce clear, accurate reports with practical recommendations</w:t>
                </w:r>
              </w:p>
              <w:p w:rsidR="00000000" w:rsidDel="00000000" w:rsidP="00000000" w:rsidRDefault="00000000" w:rsidRPr="00000000" w14:paraId="0000001A">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EHCP assessments and reviews</w:t>
                </w:r>
              </w:p>
              <w:p w:rsidR="00000000" w:rsidDel="00000000" w:rsidP="00000000" w:rsidRDefault="00000000" w:rsidRPr="00000000" w14:paraId="0000001B">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Direct Intervention</w:t>
                </w:r>
              </w:p>
              <w:p w:rsidR="00000000" w:rsidDel="00000000" w:rsidP="00000000" w:rsidRDefault="00000000" w:rsidRPr="00000000" w14:paraId="0000001D">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 1:1 and small group therapy aligned to EHCP targets</w:t>
                </w:r>
              </w:p>
              <w:p w:rsidR="00000000" w:rsidDel="00000000" w:rsidP="00000000" w:rsidRDefault="00000000" w:rsidRPr="00000000" w14:paraId="0000001E">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 personalised communication programmes</w:t>
                </w:r>
              </w:p>
              <w:p w:rsidR="00000000" w:rsidDel="00000000" w:rsidP="00000000" w:rsidRDefault="00000000" w:rsidRPr="00000000" w14:paraId="0000001F">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Adapt interventions in response to student engagement and regulation</w:t>
                </w:r>
              </w:p>
              <w:p w:rsidR="00000000" w:rsidDel="00000000" w:rsidP="00000000" w:rsidRDefault="00000000" w:rsidRPr="00000000" w14:paraId="00000020">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Collaborative Working</w:t>
                </w:r>
              </w:p>
              <w:p w:rsidR="00000000" w:rsidDel="00000000" w:rsidP="00000000" w:rsidRDefault="00000000" w:rsidRPr="00000000" w14:paraId="00000022">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alongside teachers to embed communication strategies into lessons</w:t>
                </w:r>
              </w:p>
              <w:p w:rsidR="00000000" w:rsidDel="00000000" w:rsidP="00000000" w:rsidRDefault="00000000" w:rsidRPr="00000000" w14:paraId="00000023">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practical, in-the-moment advice to staff</w:t>
                </w:r>
              </w:p>
              <w:p w:rsidR="00000000" w:rsidDel="00000000" w:rsidP="00000000" w:rsidRDefault="00000000" w:rsidRPr="00000000" w14:paraId="00000024">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development of communication-friendly learning environments</w:t>
                </w:r>
              </w:p>
              <w:p w:rsidR="00000000" w:rsidDel="00000000" w:rsidP="00000000" w:rsidRDefault="00000000" w:rsidRPr="00000000" w14:paraId="00000025">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multi-disciplinary working where required, liaising with professionals such as Educational Psychologists, Occupational Therapists and CAMHS to support holistic student outcomes</w:t>
                </w:r>
              </w:p>
              <w:p w:rsidR="00000000" w:rsidDel="00000000" w:rsidP="00000000" w:rsidRDefault="00000000" w:rsidRPr="00000000" w14:paraId="00000026">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EHCP Contribution</w:t>
                </w:r>
              </w:p>
              <w:p w:rsidR="00000000" w:rsidDel="00000000" w:rsidP="00000000" w:rsidRDefault="00000000" w:rsidRPr="00000000" w14:paraId="00000028">
                <w:pPr>
                  <w:numPr>
                    <w:ilvl w:val="0"/>
                    <w:numId w:val="7"/>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Write professional reports for Annual Reviews and attend where necessary</w:t>
                </w:r>
              </w:p>
              <w:p w:rsidR="00000000" w:rsidDel="00000000" w:rsidP="00000000" w:rsidRDefault="00000000" w:rsidRPr="00000000" w14:paraId="00000029">
                <w:pPr>
                  <w:numPr>
                    <w:ilvl w:val="0"/>
                    <w:numId w:val="7"/>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Set measurable, meaningful SMART targets</w:t>
                </w:r>
              </w:p>
              <w:p w:rsidR="00000000" w:rsidDel="00000000" w:rsidP="00000000" w:rsidRDefault="00000000" w:rsidRPr="00000000" w14:paraId="0000002A">
                <w:pPr>
                  <w:numPr>
                    <w:ilvl w:val="0"/>
                    <w:numId w:val="7"/>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assessment and planning processes</w:t>
                </w:r>
              </w:p>
              <w:p w:rsidR="00000000" w:rsidDel="00000000" w:rsidP="00000000" w:rsidRDefault="00000000" w:rsidRPr="00000000" w14:paraId="0000002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Relational Practice</w:t>
                </w:r>
              </w:p>
              <w:p w:rsidR="00000000" w:rsidDel="00000000" w:rsidP="00000000" w:rsidRDefault="00000000" w:rsidRPr="00000000" w14:paraId="0000002D">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Build trust with students who may be disengaged or anxious</w:t>
                </w:r>
              </w:p>
              <w:p w:rsidR="00000000" w:rsidDel="00000000" w:rsidP="00000000" w:rsidRDefault="00000000" w:rsidRPr="00000000" w14:paraId="0000002E">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access to pupil voice and communication opportunities</w:t>
                </w:r>
              </w:p>
              <w:p w:rsidR="00000000" w:rsidDel="00000000" w:rsidP="00000000" w:rsidRDefault="00000000" w:rsidRPr="00000000" w14:paraId="0000002F">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 trauma-informed, student-centred approach</w:t>
                </w:r>
              </w:p>
              <w:p w:rsidR="00000000" w:rsidDel="00000000" w:rsidP="00000000" w:rsidRDefault="00000000" w:rsidRPr="00000000" w14:paraId="00000030">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Caseload Management</w:t>
                </w:r>
              </w:p>
              <w:p w:rsidR="00000000" w:rsidDel="00000000" w:rsidP="00000000" w:rsidRDefault="00000000" w:rsidRPr="00000000" w14:paraId="00000032">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workload effectively across the schools </w:t>
                </w:r>
              </w:p>
              <w:p w:rsidR="00000000" w:rsidDel="00000000" w:rsidP="00000000" w:rsidRDefault="00000000" w:rsidRPr="00000000" w14:paraId="00000033">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accurate and up-to-date records</w:t>
                </w:r>
              </w:p>
              <w:p w:rsidR="00000000" w:rsidDel="00000000" w:rsidP="00000000" w:rsidRDefault="00000000" w:rsidRPr="00000000" w14:paraId="00000034">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Track and evaluate student progress</w:t>
                </w:r>
              </w:p>
              <w:p w:rsidR="00000000" w:rsidDel="00000000" w:rsidP="00000000" w:rsidRDefault="00000000" w:rsidRPr="00000000" w14:paraId="00000035">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Communicate with families and professionals</w:t>
                </w:r>
              </w:p>
              <w:p w:rsidR="00000000" w:rsidDel="00000000" w:rsidP="00000000" w:rsidRDefault="00000000" w:rsidRPr="00000000" w14:paraId="00000036">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 Training &amp; Staff Development</w:t>
                </w:r>
              </w:p>
              <w:p w:rsidR="00000000" w:rsidDel="00000000" w:rsidP="00000000" w:rsidRDefault="00000000" w:rsidRPr="00000000" w14:paraId="00000038">
                <w:pPr>
                  <w:numPr>
                    <w:ilvl w:val="0"/>
                    <w:numId w:val="1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 training to staff on communication strategies</w:t>
                </w:r>
              </w:p>
              <w:p w:rsidR="00000000" w:rsidDel="00000000" w:rsidP="00000000" w:rsidRDefault="00000000" w:rsidRPr="00000000" w14:paraId="00000039">
                <w:pPr>
                  <w:numPr>
                    <w:ilvl w:val="0"/>
                    <w:numId w:val="1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Model effective practice in lessons</w:t>
                </w:r>
              </w:p>
              <w:p w:rsidR="00000000" w:rsidDel="00000000" w:rsidP="00000000" w:rsidRDefault="00000000" w:rsidRPr="00000000" w14:paraId="0000003A">
                <w:pPr>
                  <w:numPr>
                    <w:ilvl w:val="0"/>
                    <w:numId w:val="1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staff to embed approaches consistently</w:t>
                </w:r>
              </w:p>
              <w:p w:rsidR="00000000" w:rsidDel="00000000" w:rsidP="00000000" w:rsidRDefault="00000000" w:rsidRPr="00000000" w14:paraId="0000003B">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Monitoring &amp; Evaluation</w:t>
                </w:r>
              </w:p>
              <w:p w:rsidR="00000000" w:rsidDel="00000000" w:rsidP="00000000" w:rsidRDefault="00000000" w:rsidRPr="00000000" w14:paraId="0000003D">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Collect and analyse data on student progress</w:t>
                </w:r>
              </w:p>
              <w:p w:rsidR="00000000" w:rsidDel="00000000" w:rsidP="00000000" w:rsidRDefault="00000000" w:rsidRPr="00000000" w14:paraId="0000003E">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Evaluate impact of interventions</w:t>
                </w:r>
              </w:p>
              <w:p w:rsidR="00000000" w:rsidDel="00000000" w:rsidP="00000000" w:rsidRDefault="00000000" w:rsidRPr="00000000" w14:paraId="0000003F">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development of resources and tools</w:t>
                </w:r>
              </w:p>
              <w:p w:rsidR="00000000" w:rsidDel="00000000" w:rsidP="00000000" w:rsidRDefault="00000000" w:rsidRPr="00000000" w14:paraId="00000040">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 Professional Practice</w:t>
                </w:r>
              </w:p>
              <w:p w:rsidR="00000000" w:rsidDel="00000000" w:rsidP="00000000" w:rsidRDefault="00000000" w:rsidRPr="00000000" w14:paraId="00000042">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HCPC and RCSLT standards</w:t>
                </w:r>
              </w:p>
              <w:p w:rsidR="00000000" w:rsidDel="00000000" w:rsidP="00000000" w:rsidRDefault="00000000" w:rsidRPr="00000000" w14:paraId="00000043">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Engage in CPD and training</w:t>
                </w:r>
              </w:p>
              <w:p w:rsidR="00000000" w:rsidDel="00000000" w:rsidP="00000000" w:rsidRDefault="00000000" w:rsidRPr="00000000" w14:paraId="00000044">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 all safeguarding and school policies</w:t>
                </w:r>
              </w:p>
              <w:p w:rsidR="00000000" w:rsidDel="00000000" w:rsidP="00000000" w:rsidRDefault="00000000" w:rsidRPr="00000000" w14:paraId="00000045">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Access and engage with </w:t>
                </w:r>
                <w:r w:rsidDel="00000000" w:rsidR="00000000" w:rsidRPr="00000000">
                  <w:rPr>
                    <w:rFonts w:ascii="Calibri" w:cs="Calibri" w:eastAsia="Calibri" w:hAnsi="Calibri"/>
                    <w:sz w:val="20"/>
                    <w:szCs w:val="20"/>
                    <w:rtl w:val="0"/>
                  </w:rPr>
                  <w:t xml:space="preserve">external clinical supervision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 Specification</w:t>
                </w:r>
              </w:p>
              <w:p w:rsidR="00000000" w:rsidDel="00000000" w:rsidP="00000000" w:rsidRDefault="00000000" w:rsidRPr="00000000" w14:paraId="0000004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Essential</w:t>
                </w:r>
              </w:p>
              <w:p w:rsidR="00000000" w:rsidDel="00000000" w:rsidP="00000000" w:rsidRDefault="00000000" w:rsidRPr="00000000" w14:paraId="00000048">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BSc (Hons) or MSc in Speech and Language Therapy</w:t>
                </w:r>
              </w:p>
              <w:p w:rsidR="00000000" w:rsidDel="00000000" w:rsidP="00000000" w:rsidRDefault="00000000" w:rsidRPr="00000000" w14:paraId="00000049">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HCPC registered and RCSLT member</w:t>
                </w:r>
              </w:p>
              <w:p w:rsidR="00000000" w:rsidDel="00000000" w:rsidP="00000000" w:rsidRDefault="00000000" w:rsidRPr="00000000" w14:paraId="0000004A">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working with children/young people with SEND (ASD, SEMH) with SLCN. </w:t>
                </w:r>
              </w:p>
              <w:p w:rsidR="00000000" w:rsidDel="00000000" w:rsidP="00000000" w:rsidRDefault="00000000" w:rsidRPr="00000000" w14:paraId="0000004B">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Strong understanding of safeguarding and the ability to apply this in practice</w:t>
                </w:r>
              </w:p>
              <w:p w:rsidR="00000000" w:rsidDel="00000000" w:rsidP="00000000" w:rsidRDefault="00000000" w:rsidRPr="00000000" w14:paraId="0000004C">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Excellent communication and organisational skills</w:t>
                </w:r>
              </w:p>
              <w:p w:rsidR="00000000" w:rsidDel="00000000" w:rsidP="00000000" w:rsidRDefault="00000000" w:rsidRPr="00000000" w14:paraId="0000004D">
                <w:pPr>
                  <w:numPr>
                    <w:ilvl w:val="0"/>
                    <w:numId w:val="10"/>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Experience carrying out assessment, intervention planning and progress monitoring</w:t>
                </w:r>
              </w:p>
              <w:p w:rsidR="00000000" w:rsidDel="00000000" w:rsidP="00000000" w:rsidRDefault="00000000" w:rsidRPr="00000000" w14:paraId="0000004E">
                <w:pPr>
                  <w:numPr>
                    <w:ilvl w:val="0"/>
                    <w:numId w:val="10"/>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Ability to produce clear, high-quality written reports (including EHCP-related documentation)</w:t>
                </w:r>
              </w:p>
              <w:p w:rsidR="00000000" w:rsidDel="00000000" w:rsidP="00000000" w:rsidRDefault="00000000" w:rsidRPr="00000000" w14:paraId="0000004F">
                <w:pPr>
                  <w:numPr>
                    <w:ilvl w:val="0"/>
                    <w:numId w:val="10"/>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Strong interpersonal skills with the ability to build trust with disengaged or vulnerable learners</w:t>
                </w:r>
              </w:p>
              <w:p w:rsidR="00000000" w:rsidDel="00000000" w:rsidP="00000000" w:rsidRDefault="00000000" w:rsidRPr="00000000" w14:paraId="00000050">
                <w:pPr>
                  <w:numPr>
                    <w:ilvl w:val="0"/>
                    <w:numId w:val="10"/>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Ability to work independently, manage a varied caseload and prioritise effectively across multiple settings</w:t>
                </w:r>
              </w:p>
              <w:p w:rsidR="00000000" w:rsidDel="00000000" w:rsidP="00000000" w:rsidRDefault="00000000" w:rsidRPr="00000000" w14:paraId="00000051">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work independently and as part of a team</w:t>
                </w:r>
              </w:p>
              <w:p w:rsidR="00000000" w:rsidDel="00000000" w:rsidP="00000000" w:rsidRDefault="00000000" w:rsidRPr="00000000" w14:paraId="00000052">
                <w:pPr>
                  <w:numPr>
                    <w:ilvl w:val="0"/>
                    <w:numId w:val="10"/>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Ability to work collaboratively with teaching staff and wider multi-disciplinary teams</w:t>
                </w:r>
              </w:p>
              <w:p w:rsidR="00000000" w:rsidDel="00000000" w:rsidP="00000000" w:rsidRDefault="00000000" w:rsidRPr="00000000" w14:paraId="00000053">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Flexible, adaptable, and resilient in response to students needs and changing environments </w:t>
                </w:r>
              </w:p>
              <w:p w:rsidR="00000000" w:rsidDel="00000000" w:rsidP="00000000" w:rsidRDefault="00000000" w:rsidRPr="00000000" w14:paraId="0000005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Desirable</w:t>
                </w:r>
              </w:p>
              <w:p w:rsidR="00000000" w:rsidDel="00000000" w:rsidP="00000000" w:rsidRDefault="00000000" w:rsidRPr="00000000" w14:paraId="00000056">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with AAC</w:t>
                </w:r>
              </w:p>
              <w:p w:rsidR="00000000" w:rsidDel="00000000" w:rsidP="00000000" w:rsidRDefault="00000000" w:rsidRPr="00000000" w14:paraId="00000057">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in working in a trauma-informed setting</w:t>
                </w:r>
              </w:p>
              <w:p w:rsidR="00000000" w:rsidDel="00000000" w:rsidP="00000000" w:rsidRDefault="00000000" w:rsidRPr="00000000" w14:paraId="00000058">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in alternative provision or outreach settings</w:t>
                </w:r>
                <w:r w:rsidDel="00000000" w:rsidR="00000000" w:rsidRPr="00000000">
                  <w:rPr>
                    <w:rtl w:val="0"/>
                  </w:rPr>
                </w:r>
              </w:p>
            </w:tc>
          </w:tr>
        </w:tbl>
      </w:sdtContent>
    </w:sdt>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20"/>
          <w:szCs w:val="20"/>
          <w:highlight w:val="white"/>
        </w:rPr>
      </w:pPr>
      <w:bookmarkStart w:colFirst="0" w:colLast="0" w:name="_heading=h.30j0zll" w:id="2"/>
      <w:bookmarkEnd w:id="2"/>
      <w:r w:rsidDel="00000000" w:rsidR="00000000" w:rsidRPr="00000000">
        <w:rPr>
          <w:rFonts w:ascii="Calibri" w:cs="Calibri" w:eastAsia="Calibri" w:hAnsi="Calibri"/>
          <w:sz w:val="20"/>
          <w:szCs w:val="20"/>
          <w:highlight w:val="white"/>
          <w:rtl w:val="0"/>
        </w:rPr>
        <w:t xml:space="preserve">The job description is not an exhaustive list and there may be times when the Executive Headteacher or Director of Education will require certain tasks to be undertaken that may not be listed here. These will always fall within the policies and procedures of TCW and within the remit of what may be expected in your role. There will always be a discussion between all parties on whether the successful candidate feels they can manage these extra tasks.</w:t>
      </w:r>
    </w:p>
    <w:p w:rsidR="00000000" w:rsidDel="00000000" w:rsidP="00000000" w:rsidRDefault="00000000" w:rsidRPr="00000000" w14:paraId="0000005B">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Extra information:</w:t>
      </w:r>
    </w:p>
    <w:p w:rsidR="00000000" w:rsidDel="00000000" w:rsidP="00000000" w:rsidRDefault="00000000" w:rsidRPr="00000000" w14:paraId="0000005D">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This is a salaried part time position of 3 days per week. This role is only expected to work in the school during term time with the exception of an additional 3 specified, out-of-term, office days (dates TBC in advance of the commencement of the school year or upon request). Official leave is 12 days per annum (to be taken out of school time) plus bank holidays, however the rest of the school holidays staff are only expected to work from home to the degree required to meet their duties though should be contactable as required. This role may also be entitled to up to 3 days unpaid term-time leave per annum, to be taken in blocks of no more than 2 days at the discretion of the Executive Headteacher.</w:t>
      </w:r>
    </w:p>
    <w:p w:rsidR="00000000" w:rsidDel="00000000" w:rsidP="00000000" w:rsidRDefault="00000000" w:rsidRPr="00000000" w14:paraId="0000005E">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The working hours are based on 08.30–16.30 with a 30-minute lunch break on weekdays, with some planning, preparation, reports, admin and meetings taking place outside of these hours. TCW reserves the right to hold meetings, social events and performances after these hours, which you would be expected to attend. This includes weekly Thursday training sessions, which run 4:30–6:00pm, and the TCW showcase. Dates are provided at the beginning of every new academic year.</w:t>
      </w:r>
    </w:p>
    <w:p w:rsidR="00000000" w:rsidDel="00000000" w:rsidP="00000000" w:rsidRDefault="00000000" w:rsidRPr="00000000" w14:paraId="00000060">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This role will be directly managed by the Head of Curriculum Development, with performance reviews happening in line with the appraisal policy. It is expected that all successful candidates will follow the policies and procedures of TCW at all times and conduct themselves in a manner that is deemed acceptable and appropriate by the CEO of TCW in accordance with the staff handbook.</w:t>
      </w:r>
    </w:p>
    <w:p w:rsidR="00000000" w:rsidDel="00000000" w:rsidP="00000000" w:rsidRDefault="00000000" w:rsidRPr="00000000" w14:paraId="0000006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All teachers and members of management will be required to meet the Ofsted criteria of good and always aim for outstanding as depicted in the Ofsted guidelines. Staff will be required to attend extra, unpaid training if they do not meet the criteria for good.</w:t>
      </w:r>
    </w:p>
    <w:p w:rsidR="00000000" w:rsidDel="00000000" w:rsidP="00000000" w:rsidRDefault="00000000" w:rsidRPr="00000000" w14:paraId="00000064">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This role will be based across our London schools, with occasional visits to our central office where required. Due to the nature of this role, working from home during term time is not possible. All work is expected to be carried out onsite.</w:t>
      </w:r>
    </w:p>
    <w:p w:rsidR="00000000" w:rsidDel="00000000" w:rsidP="00000000" w:rsidRDefault="00000000" w:rsidRPr="00000000" w14:paraId="00000066">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Clinical supervision is provided through an external SLT supervisor on a sessional basis. TCW is committed to ensuring all clinical staff have access to appropriate profession-specific supervision.</w:t>
      </w:r>
    </w:p>
    <w:p w:rsidR="00000000" w:rsidDel="00000000" w:rsidP="00000000" w:rsidRDefault="00000000" w:rsidRPr="00000000" w14:paraId="00000068">
      <w:pPr>
        <w:jc w:val="both"/>
        <w:rPr>
          <w:rFonts w:ascii="Calibri" w:cs="Calibri" w:eastAsia="Calibri" w:hAnsi="Calibri"/>
          <w:sz w:val="20"/>
          <w:szCs w:val="20"/>
          <w:highlight w:val="white"/>
        </w:rPr>
      </w:pP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40" w:w="11907" w:orient="portrait"/>
      <w:pgMar w:bottom="426" w:top="196" w:left="1191" w:right="1021" w:header="142"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Daniel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820"/>
      </w:tabs>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20"/>
      </w:tabs>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20"/>
      </w:tabs>
      <w:rPr>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820"/>
      </w:tabs>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2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6137"/>
      </w:tabs>
      <w:rPr>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60" w:lineRule="auto"/>
      <w:jc w:val="right"/>
      <w:rPr>
        <w:rFonts w:ascii="Calibri" w:cs="Calibri" w:eastAsia="Calibri" w:hAnsi="Calibri"/>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rPr>
    </w:pPr>
    <w:r w:rsidDel="00000000" w:rsidR="00000000" w:rsidRPr="00000000">
      <w:rPr>
        <w:color w:val="000000"/>
      </w:rPr>
      <w:drawing>
        <wp:inline distB="0" distT="0" distL="114300" distR="114300">
          <wp:extent cx="1715135" cy="1295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5135" cy="1295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Daniela" w:cs="Daniela" w:eastAsia="Daniela" w:hAnsi="Daniela"/>
      <w:sz w:val="36"/>
      <w:szCs w:val="36"/>
    </w:rPr>
  </w:style>
  <w:style w:type="paragraph" w:styleId="Heading2">
    <w:name w:val="heading 2"/>
    <w:basedOn w:val="Normal"/>
    <w:next w:val="Normal"/>
    <w:pPr>
      <w:keepNext w:val="1"/>
      <w:spacing w:after="60" w:before="240" w:lineRule="auto"/>
    </w:pPr>
    <w:rPr>
      <w:rFonts w:ascii="Daniela" w:cs="Daniela" w:eastAsia="Daniela" w:hAnsi="Daniela"/>
      <w:sz w:val="32"/>
      <w:szCs w:val="32"/>
    </w:rPr>
  </w:style>
  <w:style w:type="paragraph" w:styleId="Heading3">
    <w:name w:val="heading 3"/>
    <w:basedOn w:val="Normal"/>
    <w:next w:val="Normal"/>
    <w:pPr>
      <w:keepNext w:val="1"/>
      <w:spacing w:after="60" w:before="240" w:lineRule="auto"/>
    </w:pPr>
    <w:rPr>
      <w:rFonts w:ascii="Daniela" w:cs="Daniela" w:eastAsia="Daniela" w:hAnsi="Daniela"/>
      <w:sz w:val="28"/>
      <w:szCs w:val="28"/>
    </w:rPr>
  </w:style>
  <w:style w:type="paragraph" w:styleId="Heading4">
    <w:name w:val="heading 4"/>
    <w:basedOn w:val="Normal"/>
    <w:next w:val="Normal"/>
    <w:pPr>
      <w:keepNext w:val="1"/>
      <w:pBdr>
        <w:top w:color="000000" w:space="1" w:sz="4" w:val="single"/>
        <w:left w:color="000000" w:space="4" w:sz="4" w:val="single"/>
        <w:bottom w:color="000000" w:space="1" w:sz="4" w:val="single"/>
        <w:right w:color="000000" w:space="4" w:sz="4" w:val="single"/>
      </w:pBdr>
    </w:pPr>
    <w:rPr>
      <w:b w:val="1"/>
      <w:bCs w:val="1"/>
    </w:rPr>
  </w:style>
  <w:style w:type="paragraph" w:styleId="Heading5">
    <w:name w:val="heading 5"/>
    <w:basedOn w:val="Normal"/>
    <w:next w:val="Normal"/>
    <w:pPr>
      <w:keepNext w:val="1"/>
    </w:pPr>
    <w:rPr>
      <w:rFonts w:ascii="Daniela" w:cs="Daniela" w:eastAsia="Daniela" w:hAnsi="Daniela"/>
      <w:b w:val="1"/>
      <w:bCs w:val="1"/>
    </w:rPr>
  </w:style>
  <w:style w:type="paragraph" w:styleId="Heading6">
    <w:name w:val="heading 6"/>
    <w:basedOn w:val="Normal"/>
    <w:next w:val="Normal"/>
    <w:pPr>
      <w:keepNext w:val="1"/>
    </w:pPr>
    <w:rPr>
      <w:rFonts w:ascii="Daniela" w:cs="Daniela" w:eastAsia="Daniela" w:hAnsi="Daniela"/>
      <w:b w:val="1"/>
      <w:bCs w:val="1"/>
      <w:color w:val="808080"/>
      <w:sz w:val="36"/>
      <w:szCs w:val="3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p5wR6V5XJT51a8GEW3eQkFqA==">CgMxLjAaHwoBMBIaChgICVIUChJ0YWJsZS5teHd5YXI2dGQwdTkyCWguMWZvYjl0ZTIIaC5namRneHMyCGguZ2pkZ3hzMghoLmdqZGd4czIJaC4zMGowemxsOAByITFXVXVxeUEyWG9semd4d0h2SVNzMExFcUV3anhELUJxMg==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